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58240" behindDoc="1" locked="0" layoutInCell="1" allowOverlap="1">
                <wp:simplePos x="0" y="0"/>
                <wp:positionH relativeFrom="column">
                  <wp:posOffset>-23495</wp:posOffset>
                </wp:positionH>
                <wp:positionV relativeFrom="paragraph">
                  <wp:posOffset>7620</wp:posOffset>
                </wp:positionV>
                <wp:extent cx="7623175" cy="408305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83050"/>
                          <a:chOff x="13635" y="295"/>
                          <a:chExt cx="12005" cy="6430"/>
                        </a:xfrm>
                      </wpg:grpSpPr>
                      <wps:wsp>
                        <wps:cNvPr id="6" name="矩形 5"/>
                        <wps:cNvSpPr/>
                        <wps:spPr>
                          <a:xfrm>
                            <a:off x="13635" y="295"/>
                            <a:ext cx="12005" cy="61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1.85pt;margin-top:0.6pt;height:321.5pt;width:600.25pt;z-index:-251658240;mso-width-relative:page;mso-height-relative:page;" coordorigin="13635,295" coordsize="12005,6430" o:gfxdata="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OqVUfbaAAAACQEAAA8AAAAAAAAAAQAgAAAAIgAAAGRy&#10;cy9kb3ducmV2LnhtbFBLAQIUABQAAAAIAIdO4kD4I77urgIAAC8GAAAOAAAAAAAAAAEAIAAAACkB&#10;AABkcnMvZTJvRG9jLnhtbFBLBQYAAAAABgAGAFkBAABJBgAAAAA=&#10;">
                <o:lock v:ext="edit" aspectratio="f"/>
                <v:rect id="矩形 5" o:spid="_x0000_s1026" o:spt="1" style="position:absolute;left:13635;top:295;height:6170;width:12005;v-text-anchor:middle;" fillcolor="#FFFFFF [3212]" filled="t" stroked="f" coordsize="21600,21600" o:gfxdata="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0eR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二〇二〇年十二月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二〇二〇年十二月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a:solidFill>
                          <a:schemeClr val="bg1"/>
                        </a:solidFill>
                      </wpg:grpSpPr>
                      <wps:wsp>
                        <wps:cNvPr id="7" name="矩形 6"/>
                        <wps:cNvSpPr/>
                        <wps:spPr>
                          <a:xfrm>
                            <a:off x="1483" y="16692"/>
                            <a:ext cx="1125" cy="42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NcnyXaAAAADAEAAA8AAAAAAAAAAQAgAAAAIgAAAGRycy9kb3du&#10;cmV2LnhtbFBLAQIUABQAAAAIAIdO4kBfi/OKbwIAAHoGAAAOAAAAAAAAAAEAIAAAACkBAABkcnMv&#10;ZTJvRG9jLnhtbFBLBQYAAAAABgAGAFkBAAAKBgAAAAA=&#10;">
                <o:lock v:ext="edit" aspectratio="f"/>
                <v:rect id="矩形 6" o:spid="_x0000_s1026" o:spt="1" style="position:absolute;left:1483;top:16692;height:428;width:1125;v-text-anchor:middle;" filled="t" stroked="f" coordsize="21600,21600" o:gfxdata="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x+IK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ed="t" stroked="f" coordsize="21600,21600" o:gfxdata="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WHZ4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文安县科学技术协会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二〇二〇年十二月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420" w:lineRule="atLeast"/>
        <w:ind w:firstLine="640" w:firstLineChars="200"/>
        <w:jc w:val="left"/>
        <w:rPr>
          <w:rFonts w:ascii="仿宋_GB2312" w:hAnsi="宋体" w:eastAsia="仿宋_GB2312" w:cs="宋体"/>
          <w:color w:val="484747"/>
          <w:kern w:val="0"/>
          <w:sz w:val="32"/>
          <w:szCs w:val="32"/>
        </w:rPr>
      </w:pPr>
      <w:r>
        <w:rPr>
          <w:rFonts w:hint="eastAsia" w:ascii="仿宋_GB2312" w:hAnsi="宋体" w:eastAsia="仿宋_GB2312" w:cs="宋体"/>
          <w:color w:val="484747"/>
          <w:kern w:val="0"/>
          <w:sz w:val="32"/>
          <w:szCs w:val="32"/>
        </w:rPr>
        <w:t>县科协是由县级协会（学会、研究会）和乡镇（管区）科协组成的科学技术工作者的群众组织，是中共文安县委领导下的人民团体，是党和政府联系科技工作者的桥梁和纽带，是推动科学技术事业发展的重要力量，业务工作接受廊坊市科协指导。其主要职责是：</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（一）开展学术交流、活跃学术思想，促进学科发展、知识创新。</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（二）普及科学知识，推广先进技术，宣传科学思想，开展青少年科技教育活动。</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（三）维护科技工作者的合法权益，反映科技工作者的意见和要求，组织科学技术工作者参与科技政策、地方性法规的拟定和政治协商、科学决策、民主监督工作。</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 xml:space="preserve"> （四）表彰奖励优秀科学技术工作者，举荐人才。</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（五）开展科学论证、咨询服务工作，提出政策建议，促进科学技术成果的转化。</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（六）开展科技工作者的继续教育和培训工作。</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（七）开展好老科技工作者协会活动。</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（八）负责指导主管的有关学会和科技类社会团体的工作；承担政府委托的对全县性自然科学类学术性、科普性团体登记前的复核工作；对乡镇（管区）科协进行业务指导。</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（九）全面提高广大干部群众的科技文化素质和道德水平，推动全县科普工作发展。</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（十）实施《全民科学素质行动计划纲要》，促进科学发展观。在全社会的树立和落实，以重点人群科学素质行动带动全民科学素质的整体提高。</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（十一）做好反邪教工作，开展反对伪科学、反科学的活动。</w:t>
      </w:r>
    </w:p>
    <w:p>
      <w:pPr>
        <w:widowControl/>
        <w:spacing w:line="420" w:lineRule="atLeast"/>
        <w:jc w:val="left"/>
        <w:rPr>
          <w:rFonts w:ascii="仿宋_GB2312" w:hAnsi="宋体"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（十二）发展与香港、澳门特别行政区和台湾地区科技界及海外科技团体、科技工作者的交往和联系。</w:t>
      </w:r>
    </w:p>
    <w:p>
      <w:pPr>
        <w:widowControl/>
        <w:spacing w:line="580" w:lineRule="exact"/>
        <w:ind w:firstLine="640" w:firstLineChars="200"/>
        <w:rPr>
          <w:rFonts w:ascii="仿宋_GB2312" w:hAnsi="Calibri" w:eastAsia="仿宋_GB2312" w:cs="ArialUnicodeMS"/>
          <w:kern w:val="0"/>
          <w:sz w:val="32"/>
          <w:szCs w:val="32"/>
        </w:rPr>
      </w:pPr>
      <w:r>
        <w:rPr>
          <w:rFonts w:hint="eastAsia" w:ascii="宋体" w:hAnsi="宋体" w:eastAsia="仿宋_GB2312" w:cs="宋体"/>
          <w:color w:val="484747"/>
          <w:kern w:val="0"/>
          <w:sz w:val="32"/>
          <w:szCs w:val="32"/>
        </w:rPr>
        <w:t>  </w:t>
      </w:r>
      <w:r>
        <w:rPr>
          <w:rFonts w:hint="eastAsia" w:ascii="仿宋_GB2312" w:hAnsi="宋体" w:eastAsia="仿宋_GB2312" w:cs="宋体"/>
          <w:color w:val="484747"/>
          <w:kern w:val="0"/>
          <w:sz w:val="32"/>
          <w:szCs w:val="32"/>
        </w:rPr>
        <w:t>（十三）承担县委、县政府交办的其他事项。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768"/>
        <w:gridCol w:w="216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76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16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768" w:type="dxa"/>
          </w:tcPr>
          <w:p>
            <w:pPr>
              <w:spacing w:line="560" w:lineRule="exact"/>
              <w:rPr>
                <w:rFonts w:ascii="仿宋_GB2312" w:hAnsi="Calibri" w:eastAsia="仿宋_GB2312" w:cs="ArialUnicodeMS"/>
                <w:kern w:val="0"/>
                <w:sz w:val="28"/>
                <w:szCs w:val="28"/>
              </w:rPr>
            </w:pPr>
            <w:r>
              <w:rPr>
                <w:rFonts w:hint="eastAsia" w:ascii="仿宋_GB2312" w:hAnsi="Arial" w:eastAsia="仿宋_GB2312" w:cs="Arial"/>
                <w:color w:val="333333"/>
                <w:sz w:val="28"/>
                <w:szCs w:val="28"/>
                <w:shd w:val="clear" w:color="auto" w:fill="FFFFFF"/>
              </w:rPr>
              <w:t>文安县科学技术协会</w:t>
            </w:r>
            <w:r>
              <w:rPr>
                <w:rFonts w:hint="eastAsia" w:ascii="仿宋_GB2312" w:hAnsi="Calibri" w:eastAsia="仿宋_GB2312" w:cs="ArialUnicodeMS"/>
                <w:kern w:val="0"/>
                <w:sz w:val="28"/>
                <w:szCs w:val="28"/>
              </w:rPr>
              <w:t>(本级)</w:t>
            </w:r>
          </w:p>
        </w:tc>
        <w:tc>
          <w:tcPr>
            <w:tcW w:w="2162"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参公事业单位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768" w:type="dxa"/>
          </w:tcPr>
          <w:p>
            <w:pPr>
              <w:spacing w:line="560" w:lineRule="exact"/>
              <w:rPr>
                <w:rFonts w:ascii="仿宋_GB2312" w:hAnsi="Calibri" w:eastAsia="仿宋_GB2312" w:cs="ArialUnicodeMS"/>
                <w:kern w:val="0"/>
                <w:sz w:val="28"/>
                <w:szCs w:val="28"/>
              </w:rPr>
            </w:pPr>
          </w:p>
        </w:tc>
        <w:tc>
          <w:tcPr>
            <w:tcW w:w="216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768" w:type="dxa"/>
          </w:tcPr>
          <w:p>
            <w:pPr>
              <w:spacing w:line="560" w:lineRule="exact"/>
              <w:rPr>
                <w:rFonts w:ascii="仿宋_GB2312" w:hAnsi="Calibri" w:eastAsia="仿宋_GB2312" w:cs="ArialUnicodeMS"/>
                <w:kern w:val="0"/>
                <w:sz w:val="28"/>
                <w:szCs w:val="28"/>
              </w:rPr>
            </w:pPr>
          </w:p>
        </w:tc>
        <w:tc>
          <w:tcPr>
            <w:tcW w:w="216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768"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162"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本部门2019年度收入总计138.71万元；</w:t>
      </w:r>
      <w:r>
        <w:rPr>
          <w:rFonts w:hint="eastAsia" w:ascii="仿宋_GB2312" w:hAnsi="仿宋_GB2312" w:eastAsia="仿宋_GB2312" w:cs="仿宋_GB2312"/>
          <w:sz w:val="32"/>
          <w:szCs w:val="32"/>
        </w:rPr>
        <w:t>本年支出141.55万元。</w:t>
      </w:r>
      <w:r>
        <w:rPr>
          <w:rFonts w:hint="eastAsia" w:ascii="仿宋_GB2312" w:hAnsi="Times New Roman" w:eastAsia="仿宋_GB2312" w:cs="DengXian-Regular"/>
          <w:sz w:val="32"/>
          <w:szCs w:val="32"/>
        </w:rPr>
        <w:t>与2018年度决算相比，</w:t>
      </w:r>
      <w:r>
        <w:rPr>
          <w:rFonts w:hint="eastAsia" w:ascii="仿宋_GB2312" w:hAnsi="仿宋_GB2312" w:eastAsia="仿宋_GB2312" w:cs="仿宋_GB2312"/>
          <w:sz w:val="32"/>
          <w:szCs w:val="32"/>
        </w:rPr>
        <w:t>本年收入减少2.32万元，降低1.6%，</w:t>
      </w:r>
      <w:r>
        <w:rPr>
          <w:rFonts w:hint="eastAsia" w:ascii="仿宋_GB2312" w:hAnsi="Times New Roman" w:eastAsia="仿宋_GB2312" w:cs="DengXian-Regular"/>
          <w:sz w:val="32"/>
          <w:szCs w:val="32"/>
        </w:rPr>
        <w:t>主要是</w:t>
      </w:r>
      <w:r>
        <w:rPr>
          <w:rFonts w:hint="eastAsia" w:ascii="仿宋_GB2312" w:hAnsi="仿宋_GB2312" w:eastAsia="仿宋_GB2312" w:cs="仿宋_GB2312"/>
          <w:sz w:val="32"/>
          <w:szCs w:val="32"/>
        </w:rPr>
        <w:t>项目经费减少；本年支出增加9.33万元，增长6.5%，收入增长原因主要是人员工资调整。</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本部门2019年度本年收入合计138.71万元，其中：财政拨款收入138.71万元，占100%；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仿宋_GB2312" w:cs="Times New Roman"/>
          <w:b/>
          <w:bCs/>
          <w:sz w:val="32"/>
          <w:szCs w:val="32"/>
        </w:rPr>
      </w:pPr>
      <w:r>
        <w:rPr>
          <w:rFonts w:hint="eastAsia" w:ascii="仿宋_GB2312" w:hAnsi="Times New Roman" w:eastAsia="仿宋_GB2312" w:cs="DengXian-Regular"/>
          <w:sz w:val="32"/>
          <w:szCs w:val="32"/>
        </w:rPr>
        <w:t>本部门2019年度本年支出合计141.55万元，其中：基本支出132.33万元，占93.5%；项目支出9.22万元，占6.5%。</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本部门2019年度形成的财政拨款收支均为一般公共预算财政拨款，其中本年收入138.71万元,比2018年度</w:t>
      </w:r>
      <w:r>
        <w:rPr>
          <w:rFonts w:hint="eastAsia" w:ascii="仿宋_GB2312" w:hAnsi="仿宋_GB2312" w:eastAsia="仿宋_GB2312" w:cs="仿宋_GB2312"/>
          <w:sz w:val="32"/>
          <w:szCs w:val="32"/>
        </w:rPr>
        <w:t>减少2.32万元，降低1.6%；</w:t>
      </w:r>
      <w:r>
        <w:rPr>
          <w:rFonts w:hint="eastAsia" w:ascii="仿宋_GB2312" w:hAnsi="Times New Roman" w:eastAsia="仿宋_GB2312" w:cs="DengXian-Regular"/>
          <w:sz w:val="32"/>
          <w:szCs w:val="32"/>
        </w:rPr>
        <w:t>主要是</w:t>
      </w:r>
      <w:r>
        <w:rPr>
          <w:rFonts w:hint="eastAsia" w:ascii="仿宋_GB2312" w:hAnsi="仿宋_GB2312" w:eastAsia="仿宋_GB2312" w:cs="仿宋_GB2312"/>
          <w:sz w:val="32"/>
          <w:szCs w:val="32"/>
        </w:rPr>
        <w:t>项目经费减少</w:t>
      </w:r>
      <w:r>
        <w:rPr>
          <w:rFonts w:hint="eastAsia" w:ascii="仿宋_GB2312" w:hAnsi="Times New Roman" w:eastAsia="仿宋_GB2312" w:cs="DengXian-Regular"/>
          <w:sz w:val="32"/>
          <w:szCs w:val="32"/>
        </w:rPr>
        <w:t>；本年支141.55万元，增加</w:t>
      </w:r>
      <w:r>
        <w:rPr>
          <w:rFonts w:hint="eastAsia" w:ascii="仿宋_GB2312" w:hAnsi="仿宋_GB2312" w:eastAsia="仿宋_GB2312" w:cs="仿宋_GB2312"/>
          <w:sz w:val="32"/>
          <w:szCs w:val="32"/>
        </w:rPr>
        <w:t>9.33</w:t>
      </w:r>
      <w:r>
        <w:rPr>
          <w:rFonts w:hint="eastAsia" w:ascii="仿宋_GB2312" w:hAnsi="Times New Roman" w:eastAsia="仿宋_GB2312" w:cs="DengXian-Regular"/>
          <w:sz w:val="32"/>
          <w:szCs w:val="32"/>
        </w:rPr>
        <w:t>万元，增长</w:t>
      </w:r>
      <w:r>
        <w:rPr>
          <w:rFonts w:hint="eastAsia" w:ascii="仿宋_GB2312" w:hAnsi="仿宋_GB2312" w:eastAsia="仿宋_GB2312" w:cs="仿宋_GB2312"/>
          <w:sz w:val="32"/>
          <w:szCs w:val="32"/>
        </w:rPr>
        <w:t>6.5</w:t>
      </w:r>
      <w:r>
        <w:rPr>
          <w:rFonts w:hint="eastAsia" w:ascii="仿宋_GB2312" w:hAnsi="Times New Roman" w:eastAsia="仿宋_GB2312" w:cs="DengXian-Regular"/>
          <w:sz w:val="32"/>
          <w:szCs w:val="32"/>
        </w:rPr>
        <w:t>%，主要是</w:t>
      </w:r>
      <w:r>
        <w:rPr>
          <w:rFonts w:hint="eastAsia" w:ascii="仿宋_GB2312" w:hAnsi="仿宋_GB2312" w:eastAsia="仿宋_GB2312" w:cs="仿宋_GB2312"/>
          <w:sz w:val="32"/>
          <w:szCs w:val="32"/>
        </w:rPr>
        <w:t>人员工资调整</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本部门2019年度一般公共预算财政拨款收入138.71万元，完成年初预算的</w:t>
      </w:r>
      <w:r>
        <w:rPr>
          <w:rFonts w:hint="eastAsia" w:ascii="仿宋_GB2312" w:hAnsi="Times New Roman" w:eastAsia="仿宋_GB2312" w:cs="DengXian-Regular"/>
          <w:sz w:val="32"/>
          <w:szCs w:val="32"/>
          <w:lang w:val="en-US" w:eastAsia="zh-CN"/>
        </w:rPr>
        <w:t>108%</w:t>
      </w:r>
      <w:r>
        <w:rPr>
          <w:rFonts w:hint="eastAsia" w:ascii="仿宋_GB2312" w:hAnsi="Times New Roman" w:eastAsia="仿宋_GB2312" w:cs="DengXian-Regular"/>
          <w:sz w:val="32"/>
          <w:szCs w:val="32"/>
        </w:rPr>
        <w:t>,比年初预算增加10.25万元，决算数大于预算数主要原因是</w:t>
      </w:r>
      <w:r>
        <w:rPr>
          <w:rFonts w:hint="eastAsia" w:ascii="仿宋_GB2312" w:hAnsi="仿宋_GB2312" w:eastAsia="仿宋_GB2312" w:cs="仿宋_GB2312"/>
          <w:sz w:val="32"/>
          <w:szCs w:val="32"/>
        </w:rPr>
        <w:t>人员工资调整</w:t>
      </w:r>
      <w:r>
        <w:rPr>
          <w:rFonts w:hint="eastAsia" w:ascii="仿宋_GB2312" w:hAnsi="Times New Roman" w:eastAsia="仿宋_GB2312" w:cs="DengXian-Regular"/>
          <w:sz w:val="32"/>
          <w:szCs w:val="32"/>
        </w:rPr>
        <w:t>；本年支出141.55万元，完成年初预算的</w:t>
      </w:r>
      <w:r>
        <w:rPr>
          <w:rFonts w:hint="eastAsia" w:ascii="仿宋_GB2312" w:hAnsi="Times New Roman" w:eastAsia="仿宋_GB2312" w:cs="DengXian-Regular"/>
          <w:sz w:val="32"/>
          <w:szCs w:val="32"/>
          <w:lang w:val="en-US" w:eastAsia="zh-CN"/>
        </w:rPr>
        <w:t>110.2%</w:t>
      </w:r>
      <w:r>
        <w:rPr>
          <w:rFonts w:hint="eastAsia" w:ascii="仿宋_GB2312" w:hAnsi="Times New Roman" w:eastAsia="仿宋_GB2312" w:cs="DengXian-Regular"/>
          <w:sz w:val="32"/>
          <w:szCs w:val="32"/>
        </w:rPr>
        <w:t>,比年初预算增加13.09万元，决算数大于预算数主要原因是主要是</w:t>
      </w:r>
      <w:r>
        <w:rPr>
          <w:rFonts w:hint="eastAsia" w:ascii="仿宋_GB2312" w:hAnsi="仿宋_GB2312" w:eastAsia="仿宋_GB2312" w:cs="仿宋_GB2312"/>
          <w:sz w:val="32"/>
          <w:szCs w:val="32"/>
        </w:rPr>
        <w:t>专项经费增加以及人员工资调整</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年度财政拨款支出141.55万元，主要用于以下方面：一般公共服务（类）支出130.61万元，占92.3%，；社会保障和就业（类）支出10.94万元，占7.7%。</w:t>
      </w:r>
    </w:p>
    <w:p>
      <w:pPr>
        <w:adjustRightInd w:val="0"/>
        <w:snapToGrid w:val="0"/>
        <w:spacing w:line="580" w:lineRule="exact"/>
        <w:ind w:left="420" w:left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年度财政拨款基本支出132.33万元，其中：人员经费 115.36万元，主要包括基本工资、津贴补贴、奖金、绩效工资、机关事业单位基本养老保险缴费、职业年金缴费、职工基本医疗保险缴费、公务员医疗补助缴费、医疗费、其他社会保障缴费、其他对个人和家庭的补助支出；公用经费16.96万元，主要包括办公费、印刷费、邮电费、差旅费、工会经费、福利费、其他交通费用、其他商品和服务支出。</w:t>
      </w:r>
    </w:p>
    <w:p>
      <w:pPr>
        <w:keepNext/>
        <w:keepLines/>
        <w:numPr>
          <w:ilvl w:val="0"/>
          <w:numId w:val="2"/>
        </w:numPr>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color w:val="000000" w:themeColor="text1"/>
          <w:sz w:val="32"/>
          <w:szCs w:val="32"/>
          <w14:textFill>
            <w14:solidFill>
              <w14:schemeClr w14:val="tx1"/>
            </w14:solidFill>
          </w14:textFill>
        </w:rPr>
        <w:t>0万元，</w:t>
      </w:r>
      <w:r>
        <w:rPr>
          <w:rFonts w:hint="eastAsia" w:ascii="仿宋_GB2312" w:eastAsia="仿宋_GB2312" w:cs="DengXian-Regular"/>
          <w:sz w:val="32"/>
          <w:szCs w:val="32"/>
        </w:rPr>
        <w:t>较年初预算无增减变化</w:t>
      </w:r>
      <w:r>
        <w:rPr>
          <w:rFonts w:hint="eastAsia" w:ascii="仿宋_GB2312" w:hAnsi="Times New Roman" w:eastAsia="仿宋_GB2312" w:cs="DengXian-Regular"/>
          <w:sz w:val="32"/>
          <w:szCs w:val="32"/>
        </w:rPr>
        <w:t>；较2018年度减少0.11万元，降低100%，主要是公务用车报废处置。具体情况如下：</w:t>
      </w:r>
    </w:p>
    <w:p>
      <w:pPr>
        <w:numPr>
          <w:ilvl w:val="0"/>
          <w:numId w:val="3"/>
        </w:numPr>
        <w:adjustRightInd w:val="0"/>
        <w:snapToGrid w:val="0"/>
        <w:spacing w:line="584" w:lineRule="exact"/>
        <w:ind w:left="-10" w:leftChars="0" w:firstLine="640" w:firstLineChars="0"/>
        <w:rPr>
          <w:rFonts w:ascii="仿宋_GB2312" w:hAnsi="仿宋_GB2312" w:eastAsia="仿宋_GB2312" w:cs="仿宋_GB2312"/>
          <w:color w:val="FF0000"/>
          <w:sz w:val="32"/>
          <w:szCs w:val="32"/>
        </w:rPr>
      </w:pPr>
      <w:r>
        <w:rPr>
          <w:rFonts w:hint="eastAsia" w:ascii="方正仿宋简体" w:eastAsia="方正仿宋简体"/>
          <w:b w:val="0"/>
          <w:bCs w:val="0"/>
          <w:sz w:val="32"/>
          <w:szCs w:val="32"/>
        </w:rPr>
        <w:t>因公出国（境）费支出0万元</w:t>
      </w:r>
      <w:r>
        <w:rPr>
          <w:rFonts w:hint="eastAsia" w:ascii="方正仿宋简体" w:eastAsia="方正仿宋简体"/>
          <w:b/>
          <w:bCs/>
          <w:sz w:val="32"/>
          <w:szCs w:val="32"/>
        </w:rPr>
        <w:t>。</w:t>
      </w:r>
      <w:r>
        <w:rPr>
          <w:rFonts w:hint="eastAsia" w:ascii="方正仿宋简体" w:eastAsia="方正仿宋简体"/>
          <w:b w:val="0"/>
          <w:bCs w:val="0"/>
          <w:sz w:val="32"/>
          <w:szCs w:val="32"/>
        </w:rPr>
        <w:t>本部门201</w:t>
      </w:r>
      <w:r>
        <w:rPr>
          <w:rFonts w:hint="eastAsia" w:ascii="方正仿宋简体" w:eastAsia="方正仿宋简体"/>
          <w:b w:val="0"/>
          <w:bCs w:val="0"/>
          <w:sz w:val="32"/>
          <w:szCs w:val="32"/>
          <w:lang w:val="en-US" w:eastAsia="zh-CN"/>
        </w:rPr>
        <w:t>9</w:t>
      </w:r>
      <w:r>
        <w:rPr>
          <w:rFonts w:hint="eastAsia" w:ascii="方正仿宋简体" w:eastAsia="方正仿宋简体"/>
          <w:b w:val="0"/>
          <w:bCs w:val="0"/>
          <w:sz w:val="32"/>
          <w:szCs w:val="32"/>
        </w:rPr>
        <w:t>年度因公出国（境）团组0</w:t>
      </w:r>
      <w:r>
        <w:rPr>
          <w:rFonts w:hint="eastAsia" w:ascii="方正仿宋简体" w:hAnsi="宋体" w:eastAsia="方正仿宋简体" w:cs="宋体"/>
          <w:b w:val="0"/>
          <w:bCs w:val="0"/>
          <w:sz w:val="32"/>
          <w:szCs w:val="32"/>
        </w:rPr>
        <w:t>个、共0人，参加其他单位组织的因公出国（境）团组0个，共0人，无本单位组织的出国（境）团组。</w:t>
      </w:r>
      <w:r>
        <w:rPr>
          <w:rFonts w:hint="eastAsia" w:ascii="方正仿宋简体" w:eastAsia="方正仿宋简体"/>
          <w:sz w:val="32"/>
          <w:szCs w:val="32"/>
        </w:rPr>
        <w:t>因公出国（境）费用年初预算为0。</w:t>
      </w:r>
      <w:r>
        <w:rPr>
          <w:rFonts w:hint="eastAsia" w:ascii="仿宋" w:hAnsi="仿宋" w:eastAsia="仿宋" w:cs="仿宋_GB2312"/>
          <w:color w:val="333333"/>
          <w:kern w:val="0"/>
          <w:sz w:val="32"/>
          <w:szCs w:val="32"/>
          <w:shd w:val="clear" w:color="auto" w:fill="FFFFFF"/>
          <w:lang w:val="en-US" w:eastAsia="zh-CN" w:bidi="ar-SA"/>
        </w:rPr>
        <w:t>较年初预算无增减变化，较2018年度决算无增减变化。</w:t>
      </w:r>
    </w:p>
    <w:p>
      <w:pPr>
        <w:numPr>
          <w:numId w:val="0"/>
        </w:numPr>
        <w:adjustRightInd w:val="0"/>
        <w:snapToGrid w:val="0"/>
        <w:spacing w:line="580" w:lineRule="exact"/>
        <w:ind w:left="630" w:leftChars="0"/>
        <w:rPr>
          <w:rFonts w:ascii="仿宋_GB2312" w:hAnsi="Times New Roman" w:eastAsia="仿宋_GB2312" w:cs="DengXian-Regular"/>
          <w:sz w:val="32"/>
          <w:szCs w:val="32"/>
        </w:rPr>
      </w:pPr>
      <w:r>
        <w:rPr>
          <w:rFonts w:hint="eastAsia" w:ascii="仿宋" w:hAnsi="仿宋" w:eastAsia="仿宋" w:cs="仿宋"/>
          <w:b w:val="0"/>
          <w:bCs w:val="0"/>
          <w:sz w:val="32"/>
          <w:szCs w:val="32"/>
          <w:lang w:eastAsia="zh-CN"/>
        </w:rPr>
        <w:t>（二）</w:t>
      </w:r>
      <w:r>
        <w:rPr>
          <w:rFonts w:hint="eastAsia" w:ascii="楷体_GB2312" w:hAnsi="Times New Roman" w:eastAsia="楷体_GB2312" w:cs="DengXian-Bold"/>
          <w:b/>
          <w:bCs/>
          <w:sz w:val="32"/>
          <w:szCs w:val="32"/>
        </w:rPr>
        <w:t>务用车购置及运行维护费支出0万元。</w:t>
      </w:r>
      <w:r>
        <w:rPr>
          <w:rFonts w:hint="eastAsia" w:ascii="仿宋_GB2312" w:hAnsi="Times New Roman" w:eastAsia="仿宋_GB2312" w:cs="DengXian-Regular"/>
          <w:sz w:val="32"/>
          <w:szCs w:val="32"/>
        </w:rPr>
        <w:t>本部门2019年度公务用车</w:t>
      </w:r>
      <w:r>
        <w:rPr>
          <w:rFonts w:hint="eastAsia" w:ascii="仿宋_GB2312" w:eastAsia="仿宋_GB2312" w:cs="DengXian-Regular"/>
          <w:sz w:val="32"/>
          <w:szCs w:val="32"/>
        </w:rPr>
        <w:t>购置及</w:t>
      </w:r>
      <w:r>
        <w:rPr>
          <w:rFonts w:hint="eastAsia" w:ascii="仿宋_GB2312" w:hAnsi="Times New Roman" w:eastAsia="仿宋_GB2312" w:cs="DengXian-Regular"/>
          <w:sz w:val="32"/>
          <w:szCs w:val="32"/>
        </w:rPr>
        <w:t>运行维护费</w:t>
      </w:r>
      <w:r>
        <w:rPr>
          <w:rFonts w:hint="eastAsia" w:ascii="仿宋_GB2312" w:eastAsia="仿宋_GB2312" w:cs="DengXian-Regular"/>
          <w:sz w:val="32"/>
          <w:szCs w:val="32"/>
        </w:rPr>
        <w:t>与年初预算</w:t>
      </w:r>
      <w:r>
        <w:rPr>
          <w:rFonts w:hint="eastAsia" w:eastAsia="仿宋_GB2312"/>
          <w:sz w:val="32"/>
          <w:szCs w:val="32"/>
        </w:rPr>
        <w:t>持平</w:t>
      </w:r>
      <w:r>
        <w:rPr>
          <w:rFonts w:hint="eastAsia" w:ascii="仿宋_GB2312" w:hAnsi="Times New Roman" w:eastAsia="仿宋_GB2312" w:cs="DengXian-Regular"/>
          <w:sz w:val="32"/>
          <w:szCs w:val="32"/>
        </w:rPr>
        <w:t>；较上年减少0.11万元，降低100%,主要是公务用车公务用车报废处置。</w:t>
      </w:r>
    </w:p>
    <w:p>
      <w:pPr>
        <w:adjustRightInd w:val="0"/>
        <w:snapToGrid w:val="0"/>
        <w:spacing w:line="580" w:lineRule="exact"/>
        <w:ind w:left="420" w:left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w:t>
      </w:r>
      <w:r>
        <w:rPr>
          <w:rFonts w:eastAsia="仿宋_GB2312"/>
          <w:sz w:val="32"/>
          <w:szCs w:val="32"/>
        </w:rPr>
        <w:t>本部门</w:t>
      </w:r>
      <w:r>
        <w:rPr>
          <w:rFonts w:hint="eastAsia" w:ascii="仿宋_GB2312" w:hAnsi="仿宋_GB2312" w:eastAsia="仿宋_GB2312" w:cs="仿宋_GB2312"/>
          <w:sz w:val="32"/>
          <w:szCs w:val="32"/>
        </w:rPr>
        <w:t>2018年决算与2019年年初预算均为0。</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w:t>
      </w:r>
      <w:r>
        <w:rPr>
          <w:rFonts w:hint="eastAsia" w:ascii="仿宋_GB2312" w:eastAsia="仿宋_GB2312" w:cs="DengXian-Regular"/>
          <w:sz w:val="32"/>
          <w:szCs w:val="32"/>
        </w:rPr>
        <w:t>与年初预算</w:t>
      </w:r>
      <w:r>
        <w:rPr>
          <w:rFonts w:hint="eastAsia" w:eastAsia="仿宋_GB2312"/>
          <w:sz w:val="32"/>
          <w:szCs w:val="32"/>
        </w:rPr>
        <w:t>持平</w:t>
      </w:r>
      <w:r>
        <w:rPr>
          <w:rFonts w:hint="eastAsia" w:ascii="仿宋_GB2312" w:hAnsi="Times New Roman" w:eastAsia="仿宋_GB2312" w:cs="DengXian-Regular"/>
          <w:sz w:val="32"/>
          <w:szCs w:val="32"/>
        </w:rPr>
        <w:t>；较上年减少0.11万元，降低100%，主要是公务用车公务用车报废处置。</w:t>
      </w:r>
    </w:p>
    <w:p>
      <w:pPr>
        <w:adjustRightInd w:val="0"/>
        <w:snapToGrid w:val="0"/>
        <w:spacing w:line="580" w:lineRule="exact"/>
        <w:ind w:firstLine="643" w:firstLineChars="200"/>
        <w:rPr>
          <w:rFonts w:ascii="黑体" w:hAnsi="Calibri" w:eastAsia="黑体" w:cs="Times New Roman"/>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本部门2019年度未发生公务接待费支出，较年初预算无增减变化，较2018年度决算无增减变化。</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2个，共涉及资金8万元，占一般公共预算项目支出总额的100%。组织对“科普经费”“青少年科技创新奖励奖金”2个项目开展了部门评价，涉及一般公共预算支出8万元，政府性基金预算支出0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科普经费及 青少年科技创新奖励奖金2个项目绩效自评结果。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（一）科普经费专项公用活动项目：</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1、专项资金：</w:t>
      </w:r>
      <w:r>
        <w:rPr>
          <w:rFonts w:hint="eastAsia" w:ascii="仿宋_GB2312" w:hAnsi="仿宋_GB2312" w:eastAsia="仿宋_GB2312" w:cs="仿宋_GB2312"/>
          <w:sz w:val="32"/>
          <w:szCs w:val="32"/>
        </w:rPr>
        <w:t>财政预算专项资金4万元，实际支付4万元。</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2、预期绩效目标：</w:t>
      </w:r>
      <w:r>
        <w:rPr>
          <w:rFonts w:hint="eastAsia" w:ascii="仿宋_GB2312" w:hAnsi="仿宋_GB2312" w:eastAsia="仿宋_GB2312" w:cs="仿宋_GB2312"/>
          <w:sz w:val="32"/>
          <w:szCs w:val="32"/>
        </w:rPr>
        <w:t>紧密结合文安县科协自身实际，制定了《文安县科协2019年科普宣传工作实施方案》，抓好“5·12”防灾减灾日1次、全国科技工作者日1次以及全国科普日1次大型宣传活动。通过现场咨询、悬挂横幅标语、张帖宣传挂图、发放宣传彩页等多种形式向群众宣传科普知识。县科协与文安县电视台合作，推出了《科普园地》专题栏目，将科普知识在内容、渠道上发生更多样而优质的进化，让科普更包罗万象而深入浅出，更姿态万千而直指人心。</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3、实际完成情况：</w:t>
      </w:r>
      <w:r>
        <w:rPr>
          <w:rFonts w:hint="eastAsia" w:ascii="仿宋_GB2312" w:hAnsi="仿宋_GB2312" w:eastAsia="仿宋_GB2312" w:cs="仿宋_GB2312"/>
          <w:sz w:val="32"/>
          <w:szCs w:val="32"/>
        </w:rPr>
        <w:t>由中国科协、中国科技馆主办，文安县科协承办的中国流动科技馆文安站巡展活动，我县巡展两个月，免费向全县青少年及社会公众开放，掀起全县青少年“科普热”。紧密结合文安县县情和自身实际，制定了《文安县科协2019年科普宣传工作实施方案》，对科普宣传工作进行了全面地安排部署，做到了早谋划、早安排。 一是主题日宣传。抓好“5·12”防灾减灾日、全国科技工作者日以及全国科普日的大型宣传活动。通过现场咨询、悬挂横幅标语、张帖宣传挂图、发放宣传彩页等多种形式向群众宣传科普知识。累计发放各种宣传材料2万余份，形成了浓厚的社会氛围，提升了公众科普素质。二是专栏宣传。县科协与文安县电视台合作，推出了《科普园地》专题栏目，让科普更包罗万象而深入浅出，更姿态万千而直指人心。既要让公众收获科学知识，更要使科学真正意义上“让生活更美好”。三是科普中国APP宣传。共转发转载科普文章20000余篇，在全市传播活跃榜排名第二。有力推进了科普文安的建设进程，收到了良好的社会效果。科协各项工作已完成。</w:t>
      </w:r>
    </w:p>
    <w:p>
      <w:pPr>
        <w:ind w:firstLine="643" w:firstLineChars="200"/>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sz w:val="32"/>
          <w:szCs w:val="32"/>
        </w:rPr>
        <w:t>4、存在问题及评价：</w:t>
      </w:r>
      <w:r>
        <w:rPr>
          <w:rFonts w:hint="eastAsia" w:ascii="仿宋_GB2312" w:hAnsi="仿宋_GB2312" w:eastAsia="仿宋_GB2312" w:cs="仿宋_GB2312"/>
          <w:bCs/>
          <w:color w:val="333333"/>
          <w:sz w:val="32"/>
          <w:szCs w:val="32"/>
          <w:shd w:val="clear" w:color="auto" w:fill="FFFFFF"/>
        </w:rPr>
        <w:t>科普宣传工作开展力度薄弱，为科协提供网上服务较少，在群众中影响力不够大。</w:t>
      </w:r>
      <w:r>
        <w:rPr>
          <w:rFonts w:hint="eastAsia" w:ascii="仿宋_GB2312" w:hAnsi="仿宋_GB2312" w:eastAsia="仿宋_GB2312" w:cs="仿宋_GB2312"/>
          <w:sz w:val="32"/>
          <w:szCs w:val="32"/>
        </w:rPr>
        <w:t>党建带动宣传工作成效明显，使科协基层组织服务大局、服务群众的能力和水平得到明显提高，把党建开展群众工作的阵地建设更加强大。</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（二）青少年科技创新奖励基金专项公用项目：</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1、专项资金：</w:t>
      </w:r>
      <w:r>
        <w:rPr>
          <w:rFonts w:hint="eastAsia" w:ascii="仿宋_GB2312" w:hAnsi="仿宋_GB2312" w:eastAsia="仿宋_GB2312" w:cs="仿宋_GB2312"/>
          <w:sz w:val="32"/>
          <w:szCs w:val="32"/>
        </w:rPr>
        <w:t>财政预算专项资金4万元，实际支付4万元。</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2、预期绩效目标：</w:t>
      </w:r>
      <w:r>
        <w:rPr>
          <w:rFonts w:hint="eastAsia" w:ascii="仿宋_GB2312" w:hAnsi="仿宋_GB2312" w:eastAsia="仿宋_GB2312" w:cs="仿宋_GB2312"/>
          <w:sz w:val="32"/>
          <w:szCs w:val="32"/>
        </w:rPr>
        <w:t>举办第35届全省青少年科技创新大赛活动一次，参与科普活动和科技竞赛500人次，向廊坊市推荐青少年科技创新大赛作品件数200件。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3、实际完成情况：</w:t>
      </w:r>
      <w:r>
        <w:rPr>
          <w:rFonts w:hint="eastAsia" w:ascii="仿宋_GB2312" w:hAnsi="仿宋_GB2312" w:eastAsia="仿宋_GB2312" w:cs="仿宋_GB2312"/>
          <w:sz w:val="32"/>
          <w:szCs w:val="32"/>
        </w:rPr>
        <w:t>举办第35届全省青少年科技创新大赛活动一次，在第35届全省青少年科技创新大赛活动中，参与科普活动和科技竞赛560人次，积极推荐全县中小学师生作品413件，其中荣获省级奖4件，获市级奖122件；市级优秀科技辅导员7名、十佳科技教育创新学校 1个。科协各项工作已完成。</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4、存在问题及评价：</w:t>
      </w:r>
      <w:r>
        <w:rPr>
          <w:rFonts w:hint="eastAsia" w:ascii="仿宋_GB2312" w:hAnsi="仿宋_GB2312" w:eastAsia="仿宋_GB2312" w:cs="仿宋_GB2312"/>
          <w:bCs/>
          <w:color w:val="333333"/>
          <w:sz w:val="32"/>
          <w:szCs w:val="32"/>
          <w:shd w:val="clear" w:color="auto" w:fill="FFFFFF"/>
        </w:rPr>
        <w:t>青少年科技创新工作开展力度薄弱，在青少年中影响力不够大。</w:t>
      </w:r>
      <w:r>
        <w:rPr>
          <w:rFonts w:hint="eastAsia" w:ascii="仿宋_GB2312" w:hAnsi="仿宋_GB2312" w:eastAsia="仿宋_GB2312" w:cs="仿宋_GB2312"/>
          <w:sz w:val="32"/>
          <w:szCs w:val="32"/>
        </w:rPr>
        <w:t>党建带动宣传工作成效明显，使科协基层组织服务大局、服务群众的能力和水平得到明显提高，把党建开展群众工作的阵地建设更加强大。</w:t>
      </w:r>
    </w:p>
    <w:p>
      <w:pPr>
        <w:keepNext/>
        <w:keepLines/>
        <w:numPr>
          <w:ilvl w:val="0"/>
          <w:numId w:val="4"/>
        </w:numPr>
        <w:snapToGrid w:val="0"/>
        <w:spacing w:line="58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财政评价项目绩效评价结果</w:t>
      </w:r>
    </w:p>
    <w:p>
      <w:pPr>
        <w:keepNext/>
        <w:keepLines/>
        <w:snapToGrid w:val="0"/>
        <w:spacing w:line="58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eastAsia="仿宋_GB2312" w:cs="DengXian-Regular"/>
          <w:sz w:val="32"/>
          <w:szCs w:val="32"/>
        </w:rPr>
        <w:t>为加强预算绩效管理，切实提高财政资金使用效益，进一步做好2019年度绩效评价工作，我单位对各项专项项目都进行了重点绩效评价，评价结果为优。</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color w:val="FF0000"/>
          <w:sz w:val="32"/>
          <w:szCs w:val="32"/>
        </w:rPr>
      </w:pPr>
      <w:r>
        <w:rPr>
          <w:rFonts w:hint="eastAsia" w:ascii="仿宋_GB2312" w:hAnsi="Times New Roman" w:eastAsia="仿宋_GB2312" w:cs="DengXian-Regular"/>
          <w:color w:val="000000" w:themeColor="text1"/>
          <w:sz w:val="32"/>
          <w:szCs w:val="32"/>
          <w14:textFill>
            <w14:solidFill>
              <w14:schemeClr w14:val="tx1"/>
            </w14:solidFill>
          </w14:textFill>
        </w:rPr>
        <w:t>本部门2019年度机关运行经费支出16.96万元，</w:t>
      </w:r>
      <w:r>
        <w:rPr>
          <w:rFonts w:ascii="仿宋_GB2312" w:hAnsi="宋体" w:eastAsia="仿宋_GB2312" w:cs="仿宋_GB2312"/>
          <w:color w:val="000000" w:themeColor="text1"/>
          <w:sz w:val="32"/>
          <w:szCs w:val="32"/>
          <w:shd w:val="clear" w:color="auto" w:fill="FFFFFF"/>
          <w14:textFill>
            <w14:solidFill>
              <w14:schemeClr w14:val="tx1"/>
            </w14:solidFill>
          </w14:textFill>
        </w:rPr>
        <w:t>与年初预算持平。</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较</w:t>
      </w:r>
      <w:r>
        <w:rPr>
          <w:rFonts w:hint="eastAsia" w:ascii="仿宋_GB2312" w:hAnsi="Times New Roman" w:eastAsia="仿宋_GB2312" w:cs="DengXian-Regular"/>
          <w:color w:val="000000" w:themeColor="text1"/>
          <w:sz w:val="32"/>
          <w:szCs w:val="32"/>
          <w14:textFill>
            <w14:solidFill>
              <w14:schemeClr w14:val="tx1"/>
            </w14:solidFill>
          </w14:textFill>
        </w:rPr>
        <w:t>2018年度</w:t>
      </w:r>
      <w:r>
        <w:rPr>
          <w:rFonts w:hint="eastAsia" w:ascii="仿宋_GB2312" w:hAnsi="Times New Roman" w:eastAsia="仿宋_GB2312" w:cs="DengXian-Regular"/>
          <w:color w:val="000000" w:themeColor="text1"/>
          <w:sz w:val="32"/>
          <w:szCs w:val="32"/>
          <w:lang w:eastAsia="zh-CN"/>
          <w14:textFill>
            <w14:solidFill>
              <w14:schemeClr w14:val="tx1"/>
            </w14:solidFill>
          </w14:textFill>
        </w:rPr>
        <w:t>决算</w:t>
      </w:r>
      <w:r>
        <w:rPr>
          <w:rFonts w:hint="eastAsia" w:ascii="仿宋_GB2312" w:hAnsi="Times New Roman" w:eastAsia="仿宋_GB2312" w:cs="DengXian-Regular"/>
          <w:color w:val="000000" w:themeColor="text1"/>
          <w:sz w:val="32"/>
          <w:szCs w:val="32"/>
          <w14:textFill>
            <w14:solidFill>
              <w14:schemeClr w14:val="tx1"/>
            </w14:solidFill>
          </w14:textFill>
        </w:rPr>
        <w:t>增加4.12万元，增长24%</w:t>
      </w:r>
      <w:r>
        <w:rPr>
          <w:rFonts w:hint="eastAsia" w:ascii="仿宋_GB2312" w:hAnsi="Times New Roman" w:eastAsia="仿宋_GB2312" w:cs="DengXian-Regular"/>
          <w:color w:val="000000" w:themeColor="text1"/>
          <w:sz w:val="32"/>
          <w:szCs w:val="32"/>
          <w:lang w:eastAsia="zh-CN"/>
          <w14:textFill>
            <w14:solidFill>
              <w14:schemeClr w14:val="tx1"/>
            </w14:solidFill>
          </w14:textFill>
        </w:rPr>
        <w:t>，</w:t>
      </w:r>
      <w:r>
        <w:rPr>
          <w:rFonts w:hint="eastAsia" w:ascii="仿宋_GB2312" w:hAnsi="Times New Roman" w:eastAsia="仿宋_GB2312" w:cs="DengXian-Regular"/>
          <w:color w:val="000000" w:themeColor="text1"/>
          <w:sz w:val="32"/>
          <w:szCs w:val="32"/>
          <w14:textFill>
            <w14:solidFill>
              <w14:schemeClr w14:val="tx1"/>
            </w14:solidFill>
          </w14:textFill>
        </w:rPr>
        <w:t>主要是</w:t>
      </w:r>
      <w:r>
        <w:rPr>
          <w:rFonts w:hint="eastAsia" w:ascii="仿宋_GB2312" w:eastAsia="仿宋_GB2312" w:cs="DengXian-Regular"/>
          <w:color w:val="000000" w:themeColor="text1"/>
          <w:sz w:val="32"/>
          <w:szCs w:val="32"/>
          <w14:textFill>
            <w14:solidFill>
              <w14:schemeClr w14:val="tx1"/>
            </w14:solidFill>
          </w14:textFill>
        </w:rPr>
        <w:t>人员经费</w:t>
      </w:r>
      <w:r>
        <w:rPr>
          <w:rFonts w:hint="eastAsia" w:ascii="仿宋_GB2312" w:eastAsia="仿宋_GB2312" w:cs="DengXian-Regular"/>
          <w:color w:val="000000" w:themeColor="text1"/>
          <w:sz w:val="32"/>
          <w:szCs w:val="32"/>
          <w:lang w:eastAsia="zh-CN"/>
          <w14:textFill>
            <w14:solidFill>
              <w14:schemeClr w14:val="tx1"/>
            </w14:solidFill>
          </w14:textFill>
        </w:rPr>
        <w:t>的</w:t>
      </w:r>
      <w:r>
        <w:rPr>
          <w:rFonts w:hint="eastAsia" w:ascii="仿宋_GB2312" w:eastAsia="仿宋_GB2312" w:cs="DengXian-Regular"/>
          <w:color w:val="000000" w:themeColor="text1"/>
          <w:sz w:val="32"/>
          <w:szCs w:val="32"/>
          <w14:textFill>
            <w14:solidFill>
              <w14:schemeClr w14:val="tx1"/>
            </w14:solidFill>
          </w14:textFill>
        </w:rPr>
        <w:t>增加。</w:t>
      </w:r>
      <w:bookmarkStart w:id="0" w:name="_GoBack"/>
      <w:bookmarkEnd w:id="0"/>
    </w:p>
    <w:p>
      <w:pPr>
        <w:numPr>
          <w:ilvl w:val="0"/>
          <w:numId w:val="3"/>
        </w:numPr>
        <w:adjustRightInd w:val="0"/>
        <w:snapToGrid w:val="0"/>
        <w:spacing w:line="580" w:lineRule="exact"/>
        <w:ind w:left="-10" w:leftChars="0" w:firstLine="640" w:firstLineChars="0"/>
        <w:rPr>
          <w:rFonts w:hint="eastAsia" w:ascii="楷体_GB2312" w:hAnsi="Times New Roman" w:eastAsia="楷体_GB2312" w:cs="DengXian-Bold"/>
          <w:b/>
          <w:bCs/>
          <w:color w:val="000000" w:themeColor="text1"/>
          <w:sz w:val="32"/>
          <w:szCs w:val="32"/>
          <w14:textFill>
            <w14:solidFill>
              <w14:schemeClr w14:val="tx1"/>
            </w14:solidFill>
          </w14:textFill>
        </w:rPr>
      </w:pPr>
      <w:r>
        <w:rPr>
          <w:rFonts w:hint="eastAsia" w:ascii="楷体_GB2312" w:hAnsi="Times New Roman" w:eastAsia="楷体_GB2312" w:cs="DengXian-Bold"/>
          <w:b/>
          <w:bCs/>
          <w:color w:val="000000" w:themeColor="text1"/>
          <w:sz w:val="32"/>
          <w:szCs w:val="32"/>
          <w14:textFill>
            <w14:solidFill>
              <w14:schemeClr w14:val="tx1"/>
            </w14:solidFill>
          </w14:textFill>
        </w:rPr>
        <w:t>政府采购情况</w:t>
      </w:r>
    </w:p>
    <w:p>
      <w:pPr>
        <w:pStyle w:val="6"/>
        <w:widowControl/>
        <w:shd w:val="clear" w:color="auto" w:fill="FFFFFF"/>
        <w:spacing w:before="0" w:beforeAutospacing="0" w:after="0" w:afterAutospacing="0" w:line="405" w:lineRule="atLeast"/>
        <w:ind w:firstLine="800" w:firstLineChars="250"/>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本部门2019年度政府采购支出总额0万元, 从采购类型来看，政府采购货物支出0万元、政府采购工程支出0万元、政府采购服务支出0万元。授予中小企业合同金0万元，占政府采购支出总额的0%，其中授予小微企业合同金额0万元，占政府采购支出总额的 0%。</w:t>
      </w:r>
    </w:p>
    <w:p>
      <w:pPr>
        <w:numPr>
          <w:numId w:val="0"/>
        </w:numPr>
        <w:adjustRightInd w:val="0"/>
        <w:snapToGrid w:val="0"/>
        <w:spacing w:line="580" w:lineRule="exact"/>
        <w:ind w:left="630" w:leftChars="0"/>
        <w:rPr>
          <w:rFonts w:hint="eastAsia" w:ascii="楷体_GB2312" w:hAnsi="Times New Roman" w:eastAsia="楷体_GB2312" w:cs="DengXian-Bold"/>
          <w:b/>
          <w:bCs/>
          <w:color w:val="FF0000"/>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keepNext/>
        <w:keepLines/>
        <w:snapToGrid w:val="0"/>
        <w:spacing w:line="580" w:lineRule="exact"/>
        <w:ind w:firstLine="640" w:firstLineChars="200"/>
        <w:outlineLvl w:val="2"/>
        <w:rPr>
          <w:rFonts w:hint="eastAsia" w:ascii="楷体_GB2312" w:hAnsi="Times New Roman" w:eastAsia="楷体_GB2312" w:cs="DengXian-Bold"/>
          <w:b/>
          <w:bCs/>
          <w:sz w:val="32"/>
          <w:szCs w:val="32"/>
        </w:rPr>
      </w:pPr>
      <w:r>
        <w:rPr>
          <w:rFonts w:hint="eastAsia" w:ascii="仿宋" w:hAnsi="仿宋" w:eastAsia="仿宋" w:cs="仿宋_GB2312"/>
          <w:color w:val="333333"/>
          <w:sz w:val="32"/>
          <w:szCs w:val="32"/>
          <w:shd w:val="clear" w:color="auto" w:fill="FFFFFF"/>
        </w:rPr>
        <w:t>截至2019年12月31日，本部门无车辆，较上年无变化。其中，副部（省）级及以上领导用车0辆，主要领导干部用车0辆，机要通信用车0辆，应急保障用车0辆，执法执勤用车0辆，特种专业技术用车0辆，离退休干部用车0辆，其他用车0辆；单位价值50万元以上通用设备0台（套），较上年无变化 ，单位价值100万元以上专用设备0台（套），较上年无变化。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政府性基金预算财政拨款收入支出决算表和国有资本经营预算财政拨款支出决算表无收支及结转结余情况，故政府性基金预算财政拨款收入支出决算表和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adjustRightInd w:val="0"/>
        <w:snapToGrid w:val="0"/>
        <w:spacing w:line="580" w:lineRule="exact"/>
        <w:ind w:firstLine="640" w:firstLineChars="200"/>
        <w:rPr>
          <w:rFonts w:ascii="仿宋_GB2312" w:hAnsi="Times New Roman" w:eastAsia="仿宋_GB2312" w:cs="DengXian-Regular"/>
          <w:sz w:val="32"/>
          <w:szCs w:val="32"/>
        </w:rPr>
      </w:pP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7"/>
        <w:tblW w:w="9580" w:type="dxa"/>
        <w:jc w:val="center"/>
        <w:tblInd w:w="0" w:type="dxa"/>
        <w:tblLayout w:type="fixed"/>
        <w:tblCellMar>
          <w:top w:w="0" w:type="dxa"/>
          <w:left w:w="0" w:type="dxa"/>
          <w:bottom w:w="0" w:type="dxa"/>
          <w:right w:w="0" w:type="dxa"/>
        </w:tblCellMar>
      </w:tblPr>
      <w:tblGrid>
        <w:gridCol w:w="1009"/>
        <w:gridCol w:w="59"/>
        <w:gridCol w:w="58"/>
        <w:gridCol w:w="1456"/>
        <w:gridCol w:w="999"/>
        <w:gridCol w:w="999"/>
        <w:gridCol w:w="999"/>
        <w:gridCol w:w="999"/>
        <w:gridCol w:w="999"/>
        <w:gridCol w:w="999"/>
        <w:gridCol w:w="1004"/>
      </w:tblGrid>
      <w:tr>
        <w:tblPrEx>
          <w:tblLayout w:type="fixed"/>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85" w:hRule="atLeast"/>
          <w:jc w:val="center"/>
        </w:trPr>
        <w:tc>
          <w:tcPr>
            <w:tcW w:w="25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5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7"/>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7"/>
        <w:tblW w:w="9520" w:type="dxa"/>
        <w:jc w:val="center"/>
        <w:tblInd w:w="0" w:type="dxa"/>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7"/>
        <w:tblW w:w="9990" w:type="dxa"/>
        <w:jc w:val="center"/>
        <w:tblInd w:w="0" w:type="dxa"/>
        <w:tblLayout w:type="fixed"/>
        <w:tblCellMar>
          <w:top w:w="0" w:type="dxa"/>
          <w:left w:w="0" w:type="dxa"/>
          <w:bottom w:w="0" w:type="dxa"/>
          <w:right w:w="0" w:type="dxa"/>
        </w:tblCellMar>
      </w:tblPr>
      <w:tblGrid>
        <w:gridCol w:w="1174"/>
        <w:gridCol w:w="67"/>
        <w:gridCol w:w="67"/>
        <w:gridCol w:w="1695"/>
        <w:gridCol w:w="2329"/>
        <w:gridCol w:w="2329"/>
        <w:gridCol w:w="2329"/>
      </w:tblGrid>
      <w:tr>
        <w:tblPrEx>
          <w:tblLayout w:type="fixed"/>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bl>
    <w:p>
      <w:r>
        <w:br w:type="page"/>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9917" w:type="dxa"/>
        <w:jc w:val="center"/>
        <w:tblInd w:w="0" w:type="dxa"/>
        <w:tblLayout w:type="fixed"/>
        <w:tblCellMar>
          <w:top w:w="0" w:type="dxa"/>
          <w:left w:w="0" w:type="dxa"/>
          <w:bottom w:w="0" w:type="dxa"/>
          <w:right w:w="0" w:type="dxa"/>
        </w:tblCellMar>
      </w:tblPr>
      <w:tblGrid>
        <w:gridCol w:w="1288"/>
        <w:gridCol w:w="74"/>
        <w:gridCol w:w="74"/>
        <w:gridCol w:w="3798"/>
        <w:gridCol w:w="961"/>
        <w:gridCol w:w="1861"/>
        <w:gridCol w:w="1861"/>
      </w:tblGrid>
      <w:tr>
        <w:tblPrEx>
          <w:tblLayout w:type="fixed"/>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00000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4F6D6"/>
    <w:multiLevelType w:val="singleLevel"/>
    <w:tmpl w:val="B144F6D6"/>
    <w:lvl w:ilvl="0" w:tentative="0">
      <w:start w:val="5"/>
      <w:numFmt w:val="chineseCounting"/>
      <w:suff w:val="nothing"/>
      <w:lvlText w:val="%1、"/>
      <w:lvlJc w:val="left"/>
      <w:rPr>
        <w:rFonts w:hint="eastAsia"/>
      </w:rPr>
    </w:lvl>
  </w:abstractNum>
  <w:abstractNum w:abstractNumId="1">
    <w:nsid w:val="CED296AB"/>
    <w:multiLevelType w:val="singleLevel"/>
    <w:tmpl w:val="CED296AB"/>
    <w:lvl w:ilvl="0" w:tentative="0">
      <w:start w:val="3"/>
      <w:numFmt w:val="decimal"/>
      <w:suff w:val="space"/>
      <w:lvlText w:val="%1."/>
      <w:lvlJc w:val="left"/>
      <w:rPr>
        <w:rFonts w:hint="default" w:ascii="仿宋_GB2312" w:hAnsi="仿宋_GB2312" w:eastAsia="仿宋_GB2312" w:cs="仿宋_GB2312"/>
        <w:b/>
        <w:bCs/>
      </w:rPr>
    </w:lvl>
  </w:abstractNum>
  <w:abstractNum w:abstractNumId="2">
    <w:nsid w:val="0517AE00"/>
    <w:multiLevelType w:val="singleLevel"/>
    <w:tmpl w:val="0517AE00"/>
    <w:lvl w:ilvl="0" w:tentative="0">
      <w:start w:val="1"/>
      <w:numFmt w:val="chineseCounting"/>
      <w:suff w:val="nothing"/>
      <w:lvlText w:val="（%1）"/>
      <w:lvlJc w:val="left"/>
      <w:pPr>
        <w:ind w:left="-10"/>
      </w:pPr>
      <w:rPr>
        <w:rFonts w:hint="eastAsia"/>
        <w:color w:val="000000" w:themeColor="text1"/>
        <w14:textFill>
          <w14:solidFill>
            <w14:schemeClr w14:val="tx1"/>
          </w14:solidFill>
        </w14:textFill>
      </w:rPr>
    </w:lvl>
  </w:abstractNum>
  <w:abstractNum w:abstractNumId="3">
    <w:nsid w:val="45DB9A87"/>
    <w:multiLevelType w:val="singleLevel"/>
    <w:tmpl w:val="45DB9A87"/>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44DFA"/>
    <w:rsid w:val="0007063E"/>
    <w:rsid w:val="00073392"/>
    <w:rsid w:val="00073F4E"/>
    <w:rsid w:val="00086C89"/>
    <w:rsid w:val="000A39FB"/>
    <w:rsid w:val="000A7BB9"/>
    <w:rsid w:val="00117746"/>
    <w:rsid w:val="00163F95"/>
    <w:rsid w:val="00180A9A"/>
    <w:rsid w:val="001829C0"/>
    <w:rsid w:val="00184809"/>
    <w:rsid w:val="00192112"/>
    <w:rsid w:val="001B0127"/>
    <w:rsid w:val="001C12D5"/>
    <w:rsid w:val="001C69F7"/>
    <w:rsid w:val="002650EC"/>
    <w:rsid w:val="002A6C46"/>
    <w:rsid w:val="002C19B5"/>
    <w:rsid w:val="0037628F"/>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53B5A"/>
    <w:rsid w:val="00F665F4"/>
    <w:rsid w:val="00FD225F"/>
    <w:rsid w:val="013C0D17"/>
    <w:rsid w:val="03A55ACA"/>
    <w:rsid w:val="05A11099"/>
    <w:rsid w:val="05E74419"/>
    <w:rsid w:val="077B7260"/>
    <w:rsid w:val="08B51563"/>
    <w:rsid w:val="08DC7371"/>
    <w:rsid w:val="091C5E69"/>
    <w:rsid w:val="0A8C7762"/>
    <w:rsid w:val="0AB45341"/>
    <w:rsid w:val="0AFF67A0"/>
    <w:rsid w:val="0B556ABB"/>
    <w:rsid w:val="0BB52434"/>
    <w:rsid w:val="0E891348"/>
    <w:rsid w:val="11B44286"/>
    <w:rsid w:val="12120C1F"/>
    <w:rsid w:val="137075DD"/>
    <w:rsid w:val="159A65E8"/>
    <w:rsid w:val="17B82670"/>
    <w:rsid w:val="18455795"/>
    <w:rsid w:val="19DD03A2"/>
    <w:rsid w:val="1C09367A"/>
    <w:rsid w:val="1D583EE2"/>
    <w:rsid w:val="1E6F58C2"/>
    <w:rsid w:val="1EA3732B"/>
    <w:rsid w:val="1F3C2931"/>
    <w:rsid w:val="20347328"/>
    <w:rsid w:val="20F24E2A"/>
    <w:rsid w:val="26460FC2"/>
    <w:rsid w:val="2693299C"/>
    <w:rsid w:val="29A90906"/>
    <w:rsid w:val="2D8E5FFC"/>
    <w:rsid w:val="2E1A7671"/>
    <w:rsid w:val="2F7A2B20"/>
    <w:rsid w:val="315A01B8"/>
    <w:rsid w:val="317F6D26"/>
    <w:rsid w:val="31C2036A"/>
    <w:rsid w:val="31CC4BC2"/>
    <w:rsid w:val="320D02A5"/>
    <w:rsid w:val="337C16D8"/>
    <w:rsid w:val="341C2ED7"/>
    <w:rsid w:val="348E566F"/>
    <w:rsid w:val="35087E61"/>
    <w:rsid w:val="35175306"/>
    <w:rsid w:val="398744DD"/>
    <w:rsid w:val="3A226944"/>
    <w:rsid w:val="3AEE6A48"/>
    <w:rsid w:val="3B8B1FAD"/>
    <w:rsid w:val="3C1620AA"/>
    <w:rsid w:val="3D723DE3"/>
    <w:rsid w:val="3D8F080F"/>
    <w:rsid w:val="40232633"/>
    <w:rsid w:val="405845E8"/>
    <w:rsid w:val="42950DCC"/>
    <w:rsid w:val="43FF4D1A"/>
    <w:rsid w:val="443950B7"/>
    <w:rsid w:val="44CE1FA4"/>
    <w:rsid w:val="44D5742F"/>
    <w:rsid w:val="46E01890"/>
    <w:rsid w:val="47525C39"/>
    <w:rsid w:val="47BC3109"/>
    <w:rsid w:val="487F73ED"/>
    <w:rsid w:val="49352B49"/>
    <w:rsid w:val="49BE66BD"/>
    <w:rsid w:val="4A347EAE"/>
    <w:rsid w:val="4A9D6C46"/>
    <w:rsid w:val="4BED0785"/>
    <w:rsid w:val="4F542D2A"/>
    <w:rsid w:val="522C3DED"/>
    <w:rsid w:val="52600405"/>
    <w:rsid w:val="529B4319"/>
    <w:rsid w:val="545E4C08"/>
    <w:rsid w:val="57773DD6"/>
    <w:rsid w:val="578B79AB"/>
    <w:rsid w:val="57A85FE4"/>
    <w:rsid w:val="59C3156D"/>
    <w:rsid w:val="5C7805AB"/>
    <w:rsid w:val="5CBA4898"/>
    <w:rsid w:val="5CCD3FD5"/>
    <w:rsid w:val="5F7C5E24"/>
    <w:rsid w:val="61FA5F9D"/>
    <w:rsid w:val="63191822"/>
    <w:rsid w:val="64CD6910"/>
    <w:rsid w:val="64EA13A2"/>
    <w:rsid w:val="65C66493"/>
    <w:rsid w:val="664026FE"/>
    <w:rsid w:val="66BB235F"/>
    <w:rsid w:val="6789158D"/>
    <w:rsid w:val="67D81BA4"/>
    <w:rsid w:val="68161C04"/>
    <w:rsid w:val="692B08EA"/>
    <w:rsid w:val="694D0C16"/>
    <w:rsid w:val="6AAF1C96"/>
    <w:rsid w:val="6EA06F6C"/>
    <w:rsid w:val="6F0461AE"/>
    <w:rsid w:val="720927C9"/>
    <w:rsid w:val="75681757"/>
    <w:rsid w:val="75A346A8"/>
    <w:rsid w:val="76232417"/>
    <w:rsid w:val="77942799"/>
    <w:rsid w:val="77AC28E9"/>
    <w:rsid w:val="77D35F88"/>
    <w:rsid w:val="799C77E7"/>
    <w:rsid w:val="79B9382C"/>
    <w:rsid w:val="79FB577D"/>
    <w:rsid w:val="7B043B76"/>
    <w:rsid w:val="7B331518"/>
    <w:rsid w:val="7B9C0637"/>
    <w:rsid w:val="7C041A6A"/>
    <w:rsid w:val="7E327570"/>
    <w:rsid w:val="7F9F7A92"/>
    <w:rsid w:val="7FF7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字符"/>
    <w:basedOn w:val="9"/>
    <w:link w:val="5"/>
    <w:qFormat/>
    <w:uiPriority w:val="99"/>
    <w:rPr>
      <w:rFonts w:asciiTheme="minorHAnsi" w:hAnsiTheme="minorHAnsi" w:eastAsiaTheme="minorEastAsia"/>
      <w:sz w:val="18"/>
      <w:szCs w:val="18"/>
    </w:rPr>
  </w:style>
  <w:style w:type="character" w:customStyle="1" w:styleId="11">
    <w:name w:val="页脚 字符"/>
    <w:basedOn w:val="9"/>
    <w:link w:val="4"/>
    <w:qFormat/>
    <w:uiPriority w:val="99"/>
    <w:rPr>
      <w:sz w:val="18"/>
      <w:szCs w:val="18"/>
    </w:rPr>
  </w:style>
  <w:style w:type="paragraph" w:customStyle="1" w:styleId="12">
    <w:name w:val="列表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22322-BE23-4911-89EB-58940A43EB2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31</Pages>
  <Words>1507</Words>
  <Characters>8595</Characters>
  <Lines>71</Lines>
  <Paragraphs>20</Paragraphs>
  <TotalTime>3</TotalTime>
  <ScaleCrop>false</ScaleCrop>
  <LinksUpToDate>false</LinksUpToDate>
  <CharactersWithSpaces>10082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2021-06-10T09:27:28Z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